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BCDEAA8" w:rsidP="0CA71D25" w:rsidRDefault="4BCDEAA8" w14:paraId="1D35DF20" w14:textId="61C37B55">
      <w:pPr>
        <w:jc w:val="center"/>
        <w:rPr>
          <w:b w:val="1"/>
          <w:bCs w:val="1"/>
          <w:i w:val="1"/>
          <w:iCs w:val="1"/>
          <w:sz w:val="22"/>
          <w:szCs w:val="22"/>
        </w:rPr>
      </w:pPr>
      <w:r w:rsidRPr="0CA71D25" w:rsidR="4BCDEAA8">
        <w:rPr>
          <w:b w:val="1"/>
          <w:bCs w:val="1"/>
          <w:i w:val="1"/>
          <w:iCs w:val="1"/>
          <w:sz w:val="22"/>
          <w:szCs w:val="22"/>
        </w:rPr>
        <w:t>Call for Chapter Proposals – Evidence Synthesis Services in Academic Libraries: Case Studies and Perspectives</w:t>
      </w:r>
    </w:p>
    <w:p w:rsidR="770009DE" w:rsidP="0CA71D25" w:rsidRDefault="770009DE" w14:paraId="34497D5D" w14:textId="57DFD16D">
      <w:pPr>
        <w:jc w:val="center"/>
        <w:rPr>
          <w:b w:val="1"/>
          <w:bCs w:val="1"/>
          <w:i w:val="0"/>
          <w:iCs w:val="0"/>
          <w:sz w:val="22"/>
          <w:szCs w:val="22"/>
        </w:rPr>
      </w:pPr>
      <w:r w:rsidRPr="0CA71D25" w:rsidR="770009DE">
        <w:rPr>
          <w:b w:val="1"/>
          <w:bCs w:val="1"/>
          <w:i w:val="0"/>
          <w:iCs w:val="0"/>
          <w:sz w:val="22"/>
          <w:szCs w:val="22"/>
        </w:rPr>
        <w:t>Proposal Deadline: February 14, 2025</w:t>
      </w:r>
    </w:p>
    <w:p w:rsidR="770009DE" w:rsidP="0CA71D25" w:rsidRDefault="770009DE" w14:paraId="562ECDAE" w14:textId="45F7196C">
      <w:pPr>
        <w:jc w:val="center"/>
        <w:rPr>
          <w:b w:val="1"/>
          <w:bCs w:val="1"/>
          <w:i w:val="0"/>
          <w:iCs w:val="0"/>
          <w:sz w:val="22"/>
          <w:szCs w:val="22"/>
        </w:rPr>
      </w:pPr>
      <w:r w:rsidRPr="0CA71D25" w:rsidR="770009DE">
        <w:rPr>
          <w:b w:val="1"/>
          <w:bCs w:val="1"/>
          <w:i w:val="0"/>
          <w:iCs w:val="0"/>
          <w:sz w:val="22"/>
          <w:szCs w:val="22"/>
        </w:rPr>
        <w:t xml:space="preserve">Submit your proposal: </w:t>
      </w:r>
      <w:hyperlink r:id="Re746f172022340ea">
        <w:r w:rsidRPr="0CA71D25" w:rsidR="236B0661">
          <w:rPr>
            <w:rStyle w:val="Hyperlink"/>
            <w:b w:val="1"/>
            <w:bCs w:val="1"/>
            <w:i w:val="0"/>
            <w:iCs w:val="0"/>
            <w:sz w:val="22"/>
            <w:szCs w:val="22"/>
          </w:rPr>
          <w:t>CFP Google form</w:t>
        </w:r>
      </w:hyperlink>
    </w:p>
    <w:p w:rsidR="770009DE" w:rsidP="0CA71D25" w:rsidRDefault="770009DE" w14:paraId="519B1729" w14:textId="6D24A9A5">
      <w:pPr>
        <w:jc w:val="left"/>
        <w:rPr>
          <w:b w:val="1"/>
          <w:bCs w:val="1"/>
          <w:i w:val="0"/>
          <w:iCs w:val="0"/>
          <w:sz w:val="22"/>
          <w:szCs w:val="22"/>
        </w:rPr>
      </w:pPr>
      <w:r w:rsidRPr="0CA71D25" w:rsidR="770009DE">
        <w:rPr>
          <w:b w:val="1"/>
          <w:bCs w:val="1"/>
          <w:i w:val="0"/>
          <w:iCs w:val="0"/>
          <w:sz w:val="22"/>
          <w:szCs w:val="22"/>
        </w:rPr>
        <w:t>About the Book:</w:t>
      </w:r>
    </w:p>
    <w:p w:rsidR="61F4BF4F" w:rsidP="0CA71D25" w:rsidRDefault="61F4BF4F" w14:paraId="4F25741F" w14:textId="23700C79">
      <w:pPr>
        <w:pStyle w:val="Normal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Evidence synthesis i</w:t>
      </w:r>
      <w:r w:rsidRPr="0CA71D25" w:rsidR="5504AD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nvolves combining information from multiple studies investigating the same topic to comprehensively understand the findings (Cochrane, 2023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). It includes systematic reviews, scoping reviews, and related methodologies. While evidence synthesis initially gained prominence in the medical community, 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virtually all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disciplines now employ various review types to communicate evidence-based, reproducible research. 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 evidence synthesis has expanded, so has the librarian’s role in 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facilitating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these reviews as an information expert. </w:t>
      </w:r>
      <w:r w:rsidRPr="0CA71D25" w:rsidR="3BDCCF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Key organizations recommend librarian involvement in these projects, and l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ibrarians are increasingly called upon to provide search support, information management, project management, and other services in collaboration with researchers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CA71D25" w:rsidR="50B0AA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is now commonplace for academic libraries to provide dedicated evidence synt</w:t>
      </w:r>
      <w:r w:rsidRPr="0CA71D25" w:rsidR="5EBB3A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hesis services, and a growing community of practice </w:t>
      </w:r>
      <w:r w:rsidRPr="0CA71D25" w:rsidR="5EBB3A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facilitates</w:t>
      </w:r>
      <w:r w:rsidRPr="0CA71D25" w:rsidR="5EBB3A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sharing of service models, workflows, and best practices</w:t>
      </w:r>
      <w:r w:rsidRPr="0CA71D25" w:rsidR="7FDC8C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07C6E691" w:rsidP="0CA71D25" w:rsidRDefault="07C6E691" w14:paraId="5780307A" w14:textId="50082E63">
      <w:pPr>
        <w:pStyle w:val="Normal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07C6E691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Evidence Synthesis Services in Academic Libraries: Case Studies and Perspectives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CA71D25" w:rsidR="4C6A50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aims to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bring together contributions from various academic librarians on all aspects of evidence synthesis services, from 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assessing user needs and launching new services to marketing and assessing services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sustaining success. With the insights of knowledgeable field experts and real-life case studies, this book is designed to be a practical guide for any librarian involved in evidence synthesis. It will be a valuable resource for information practitioners in any discipline, offering a systematic approach to creating, managing, and 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 evidence synthesis service. The book will also provide practical tips on 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seeking</w:t>
      </w:r>
      <w:r w:rsidRPr="0CA71D25" w:rsidR="61F4B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training opportunities, mentoring other librarians, and building enduring relationships with research partners.</w:t>
      </w:r>
    </w:p>
    <w:p w:rsidR="770009DE" w:rsidP="0CA71D25" w:rsidRDefault="770009DE" w14:paraId="766845C6" w14:textId="1C72CA3A">
      <w:pPr>
        <w:jc w:val="left"/>
        <w:rPr>
          <w:b w:val="0"/>
          <w:bCs w:val="0"/>
          <w:i w:val="0"/>
          <w:iCs w:val="0"/>
          <w:sz w:val="22"/>
          <w:szCs w:val="22"/>
        </w:rPr>
      </w:pPr>
      <w:r w:rsidRPr="0CA71D25" w:rsidR="770009DE">
        <w:rPr>
          <w:b w:val="1"/>
          <w:bCs w:val="1"/>
          <w:i w:val="0"/>
          <w:iCs w:val="0"/>
          <w:sz w:val="22"/>
          <w:szCs w:val="22"/>
        </w:rPr>
        <w:t xml:space="preserve">Edited by: </w:t>
      </w:r>
      <w:r w:rsidRPr="0CA71D25" w:rsidR="770009DE">
        <w:rPr>
          <w:b w:val="0"/>
          <w:bCs w:val="0"/>
          <w:i w:val="0"/>
          <w:iCs w:val="0"/>
          <w:sz w:val="22"/>
          <w:szCs w:val="22"/>
        </w:rPr>
        <w:t>Traci Mays, Florida Gulf Coast University and Kimberly Reycraft, Florida Gulf Coast University</w:t>
      </w:r>
    </w:p>
    <w:p w:rsidR="770009DE" w:rsidP="0CA71D25" w:rsidRDefault="770009DE" w14:paraId="05556E87" w14:textId="2C47C69F">
      <w:pPr>
        <w:jc w:val="left"/>
        <w:rPr>
          <w:b w:val="0"/>
          <w:bCs w:val="0"/>
          <w:i w:val="0"/>
          <w:iCs w:val="0"/>
          <w:sz w:val="22"/>
          <w:szCs w:val="22"/>
        </w:rPr>
      </w:pPr>
      <w:r w:rsidRPr="0CA71D25" w:rsidR="770009DE">
        <w:rPr>
          <w:b w:val="1"/>
          <w:bCs w:val="1"/>
          <w:i w:val="0"/>
          <w:iCs w:val="0"/>
          <w:sz w:val="22"/>
          <w:szCs w:val="22"/>
        </w:rPr>
        <w:t>Publisher:</w:t>
      </w:r>
      <w:r w:rsidRPr="0CA71D25" w:rsidR="770009DE">
        <w:rPr>
          <w:b w:val="0"/>
          <w:bCs w:val="0"/>
          <w:i w:val="0"/>
          <w:iCs w:val="0"/>
          <w:sz w:val="22"/>
          <w:szCs w:val="22"/>
        </w:rPr>
        <w:t xml:space="preserve"> ACRL</w:t>
      </w:r>
    </w:p>
    <w:p w:rsidR="770009DE" w:rsidP="0CA71D25" w:rsidRDefault="770009DE" w14:paraId="04E82B25" w14:textId="471EC254">
      <w:pPr>
        <w:jc w:val="left"/>
        <w:rPr>
          <w:b w:val="1"/>
          <w:bCs w:val="1"/>
          <w:i w:val="0"/>
          <w:iCs w:val="0"/>
          <w:sz w:val="22"/>
          <w:szCs w:val="22"/>
        </w:rPr>
      </w:pPr>
      <w:r w:rsidRPr="0CA71D25" w:rsidR="770009DE">
        <w:rPr>
          <w:b w:val="1"/>
          <w:bCs w:val="1"/>
          <w:i w:val="0"/>
          <w:iCs w:val="0"/>
          <w:sz w:val="22"/>
          <w:szCs w:val="22"/>
        </w:rPr>
        <w:t>Topics/Sections:</w:t>
      </w:r>
    </w:p>
    <w:p w:rsidR="114BA45D" w:rsidP="0CA71D25" w:rsidRDefault="114BA45D" w14:paraId="47C66620" w14:textId="406D50B5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Introduction</w:t>
      </w:r>
    </w:p>
    <w:p w:rsidR="114BA45D" w:rsidP="0CA71D25" w:rsidRDefault="114BA45D" w14:paraId="45A41C5F" w14:textId="3B8E5FA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Growth of interdisciplinary evidence synthesis services</w:t>
      </w:r>
    </w:p>
    <w:p w:rsidR="114BA45D" w:rsidP="0CA71D25" w:rsidRDefault="114BA45D" w14:paraId="18A9039C" w14:textId="5E7FDB8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Academic librarian roles in evidence synthesis (examples include librarians as project managers, collaborators, consultants, data managers and archival agents)</w:t>
      </w:r>
    </w:p>
    <w:p w:rsidR="114BA45D" w:rsidP="0CA71D25" w:rsidRDefault="114BA45D" w14:paraId="07336D07" w14:textId="63B7707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Planning and laying the groundwork for evidence synthesis services, including creating forms, </w:t>
      </w: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policies</w:t>
      </w: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procedures (examples include memoranda of understanding, intake forms, assessment, etc.)</w:t>
      </w:r>
    </w:p>
    <w:p w:rsidR="114BA45D" w:rsidP="0CA71D25" w:rsidRDefault="114BA45D" w14:paraId="59C78F36" w14:textId="31F1A27D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Steps to successfully rolling out a new service (for example an exploration of “soft launch” vs “hard launch” of services)</w:t>
      </w:r>
    </w:p>
    <w:p w:rsidR="2E193B09" w:rsidP="2256725E" w:rsidRDefault="2E193B09" w14:paraId="48B8B929" w14:textId="7F7EC988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56725E" w:rsidR="38EACA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Developing </w:t>
      </w:r>
      <w:r w:rsidRPr="2256725E" w:rsidR="2E193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faculty</w:t>
      </w:r>
      <w:r w:rsidRPr="2256725E" w:rsidR="010B4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</w:t>
      </w:r>
      <w:r w:rsidRPr="2256725E" w:rsidR="2E193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including</w:t>
      </w:r>
      <w:r w:rsidRPr="2256725E" w:rsidR="2AC0F9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but not limited to</w:t>
      </w:r>
      <w:r w:rsidRPr="2256725E" w:rsidR="2E193B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setting boundaries, negotiating authorship, etc.</w:t>
      </w:r>
    </w:p>
    <w:p w:rsidR="114BA45D" w:rsidP="0CA71D25" w:rsidRDefault="114BA45D" w14:paraId="46B03071" w14:textId="1901D782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 opportunities for academic librarians involved in evidence synthesis (examples include classes or workshops for beginners or advanced professionals, or how to stay current)</w:t>
      </w:r>
    </w:p>
    <w:p w:rsidR="114BA45D" w:rsidP="0CA71D25" w:rsidRDefault="114BA45D" w14:paraId="4D6909BE" w14:textId="55E9C7F0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Service Models and Workflows</w:t>
      </w:r>
    </w:p>
    <w:p w:rsidR="114BA45D" w:rsidP="0CA71D25" w:rsidRDefault="114BA45D" w14:paraId="3DC64F4E" w14:textId="05E63B9F">
      <w:pPr>
        <w:pStyle w:val="ListParagraph"/>
        <w:numPr>
          <w:ilvl w:val="0"/>
          <w:numId w:val="5"/>
        </w:numPr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Faculty only evidence synthesis services</w:t>
      </w:r>
    </w:p>
    <w:p w:rsidR="114BA45D" w:rsidP="0CA71D25" w:rsidRDefault="114BA45D" w14:paraId="17BBC02F" w14:textId="5D30EC21">
      <w:pPr>
        <w:pStyle w:val="ListParagraph"/>
        <w:numPr>
          <w:ilvl w:val="0"/>
          <w:numId w:val="5"/>
        </w:numPr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Faculty and undergraduate/graduate student evidence synthesis services</w:t>
      </w:r>
    </w:p>
    <w:p w:rsidR="5033899F" w:rsidP="2256725E" w:rsidRDefault="5033899F" w14:paraId="2E058B04" w14:textId="59BDBEC7">
      <w:pPr>
        <w:pStyle w:val="ListParagraph"/>
        <w:numPr>
          <w:ilvl w:val="0"/>
          <w:numId w:val="5"/>
        </w:numPr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56725E" w:rsidR="50338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Levels of service, for example consultation-only services, </w:t>
      </w:r>
      <w:r w:rsidRPr="2256725E" w:rsidR="50338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consultation</w:t>
      </w:r>
      <w:r w:rsidRPr="2256725E" w:rsidR="50338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co-authorship, etc.</w:t>
      </w:r>
    </w:p>
    <w:p w:rsidR="114BA45D" w:rsidP="0CA71D25" w:rsidRDefault="114BA45D" w14:paraId="64774FAF" w14:textId="51938955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Instructional components of evidence synthesis services (for example workshops and training for faculty, or teaching evidence synthesis in the undergraduate/graduate classroom)</w:t>
      </w:r>
    </w:p>
    <w:p w:rsidR="114BA45D" w:rsidP="0CA71D25" w:rsidRDefault="114BA45D" w14:paraId="068CB337" w14:textId="2769A9AB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Case studies on efficient workflows in evidence synthesis services (for example in small, medium, and large multi-campus libraries)</w:t>
      </w:r>
    </w:p>
    <w:p w:rsidR="114BA45D" w:rsidP="0CA71D25" w:rsidRDefault="114BA45D" w14:paraId="437230A8" w14:textId="42F40A51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Case studies on finding and using the right tools (for example screening tools, project management tools, etc.)</w:t>
      </w:r>
    </w:p>
    <w:p w:rsidR="114BA45D" w:rsidP="0CA71D25" w:rsidRDefault="114BA45D" w14:paraId="0D9826ED" w14:textId="4C83A5B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Sustaining Services</w:t>
      </w:r>
    </w:p>
    <w:p w:rsidR="114BA45D" w:rsidP="0CA71D25" w:rsidRDefault="114BA45D" w14:paraId="539FC3EB" w14:textId="1C5C6F4F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Marketing evidence synthesis services across campus (examples include utilizing student marketing assistants or working with campus marketing departments) </w:t>
      </w:r>
    </w:p>
    <w:p w:rsidR="114BA45D" w:rsidP="0CA71D25" w:rsidRDefault="114BA45D" w14:paraId="16863834" w14:textId="1E4E116F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Managing growth and demand for evidence synthesis services</w:t>
      </w:r>
    </w:p>
    <w:p w:rsidR="114BA45D" w:rsidP="0CA71D25" w:rsidRDefault="114BA45D" w14:paraId="7228A695" w14:textId="5E4AD9CA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Assessing and evaluating the impacts of evidence synthesis services </w:t>
      </w:r>
    </w:p>
    <w:p w:rsidR="114BA45D" w:rsidP="0CA71D25" w:rsidRDefault="114BA45D" w14:paraId="7A79B5F1" w14:textId="607581FC">
      <w:pPr>
        <w:pStyle w:val="ListParagraph"/>
        <w:numPr>
          <w:ilvl w:val="0"/>
          <w:numId w:val="4"/>
        </w:numPr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Scaling up evidence synthesis services – or scaling down a service</w:t>
      </w:r>
    </w:p>
    <w:p w:rsidR="114BA45D" w:rsidP="0CA71D25" w:rsidRDefault="114BA45D" w14:paraId="6251DF0F" w14:textId="14DB8410">
      <w:pPr>
        <w:pStyle w:val="ListParagraph"/>
        <w:numPr>
          <w:ilvl w:val="0"/>
          <w:numId w:val="4"/>
        </w:numPr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Diversity, </w:t>
      </w: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equity</w:t>
      </w: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inclusion initiatives in evidence synthesis services (for example building a multidisciplinary team)</w:t>
      </w:r>
    </w:p>
    <w:p w:rsidR="114BA45D" w:rsidP="0CA71D25" w:rsidRDefault="114BA45D" w14:paraId="5D895F0B" w14:textId="60FC414A">
      <w:pPr>
        <w:pStyle w:val="ListParagraph"/>
        <w:numPr>
          <w:ilvl w:val="0"/>
          <w:numId w:val="4"/>
        </w:numPr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Network building and professional development in evidence synthesis services</w:t>
      </w:r>
    </w:p>
    <w:p w:rsidR="114BA45D" w:rsidP="0CA71D25" w:rsidRDefault="114BA45D" w14:paraId="4AD92563" w14:textId="3EB9820E">
      <w:pPr>
        <w:pStyle w:val="ListParagraph"/>
        <w:numPr>
          <w:ilvl w:val="0"/>
          <w:numId w:val="4"/>
        </w:numPr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Case studies on challenges and issues in providing evidence synthesis services describing how those challenges were overcome</w:t>
      </w:r>
    </w:p>
    <w:p w:rsidR="114BA45D" w:rsidP="0CA71D25" w:rsidRDefault="114BA45D" w14:paraId="3F93B2A9" w14:textId="73694C92">
      <w:pPr>
        <w:pStyle w:val="ListParagraph"/>
        <w:numPr>
          <w:ilvl w:val="0"/>
          <w:numId w:val="4"/>
        </w:numPr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14BA4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Communicating the value of evidence synthesis services to campus and community stakeholders</w:t>
      </w:r>
    </w:p>
    <w:p w:rsidR="1C3EF59A" w:rsidP="0CA71D25" w:rsidRDefault="1C3EF59A" w14:paraId="01D779A9" w14:textId="2AB9CDFD">
      <w:pPr>
        <w:jc w:val="left"/>
        <w:rPr>
          <w:b w:val="1"/>
          <w:bCs w:val="1"/>
          <w:i w:val="0"/>
          <w:iCs w:val="0"/>
          <w:sz w:val="22"/>
          <w:szCs w:val="22"/>
        </w:rPr>
      </w:pPr>
      <w:r w:rsidRPr="0CA71D25" w:rsidR="1C3EF59A">
        <w:rPr>
          <w:b w:val="1"/>
          <w:bCs w:val="1"/>
          <w:i w:val="0"/>
          <w:iCs w:val="0"/>
          <w:sz w:val="22"/>
          <w:szCs w:val="22"/>
        </w:rPr>
        <w:t>Key Details for Submitting a Proposal:</w:t>
      </w:r>
    </w:p>
    <w:p w:rsidR="1C3EF59A" w:rsidP="0CA71D25" w:rsidRDefault="1C3EF59A" w14:paraId="51A5FC63" w14:textId="230268B4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1C3EF59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</w:t>
      </w:r>
      <w:r w:rsidRPr="0CA71D25" w:rsidR="1C3EF59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0CA71D25" w:rsidR="1C3EF59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proposals using th</w:t>
      </w:r>
      <w:r w:rsidRPr="0CA71D25" w:rsidR="2E5EDD3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e </w:t>
      </w:r>
      <w:hyperlink r:id="R6c54f6e6fef341de">
        <w:r w:rsidRPr="0CA71D25" w:rsidR="2E5EDD3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CFP Google form</w:t>
        </w:r>
      </w:hyperlink>
      <w:r w:rsidRPr="0CA71D25" w:rsidR="2E5EDD3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CA71D25" w:rsidR="1C3EF59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by February 14, 2025. The proposal should include all contributing authors and their institutions, a working title, section of book, 3-5 keywords describing your proposed topic, and an abstract of your proposed chapter that does not exceed 500 words.</w:t>
      </w:r>
    </w:p>
    <w:p w:rsidR="0CA71D25" w:rsidP="0CA71D25" w:rsidRDefault="0CA71D25" w14:paraId="7FA3D130" w14:textId="130CBCC4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FEEFC29" w:rsidP="0CA71D25" w:rsidRDefault="0FEEFC29" w14:paraId="43A9F690" w14:textId="5995CA8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0FEEFC2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encourage proposals from librarians </w:t>
      </w:r>
      <w:r w:rsidRPr="0CA71D25" w:rsidR="069A282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from a variety of subject disciplines</w:t>
      </w:r>
      <w:r w:rsidRPr="0CA71D25" w:rsidR="0FEEFC29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Case studies and exploratory research are invited and welcome, as are essays that incorporate scholarly writing with personal narratives. The Topics/Sections is not a</w:t>
      </w:r>
      <w:r w:rsidRPr="0CA71D25" w:rsidR="49F9ABC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final or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exhaustive list, so </w:t>
      </w:r>
      <w:r w:rsidRPr="0CA71D25" w:rsidR="1031D85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do not feel limited by 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the suggested topics</w:t>
      </w:r>
      <w:r w:rsidRPr="0CA71D25" w:rsidR="0548F00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We welcome proposals for a topic that you feel 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fit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within the scope of evidence synthesis services in academic libraries.</w:t>
      </w:r>
      <w:r w:rsidRPr="0CA71D25" w:rsidR="55413B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Additionally, all topics listed may not be included in the </w:t>
      </w:r>
      <w:r w:rsidRPr="0CA71D25" w:rsidR="55413B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final version</w:t>
      </w:r>
      <w:r w:rsidRPr="0CA71D25" w:rsidR="55413B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0CA71D25" w:rsidR="0F9AB10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Final chapters should be between </w:t>
      </w:r>
      <w:r w:rsidRPr="0CA71D25" w:rsidR="5AFA781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3,000 – 5,000</w:t>
      </w:r>
      <w:r w:rsidRPr="0CA71D25" w:rsidR="31596A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words. Chapters must not be previously published or under consideration elsewhere at the time of submission. All chapters will follow APA 7th style guidelines.</w:t>
      </w:r>
    </w:p>
    <w:p w:rsidR="0CA71D25" w:rsidP="0CA71D25" w:rsidRDefault="0CA71D25" w14:paraId="7AD49A62" w14:textId="513DF92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253EDE4" w:rsidP="0CA71D25" w:rsidRDefault="0253EDE4" w14:paraId="69A97290" w14:textId="77575699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Authors will be notified of acceptance by </w:t>
      </w:r>
      <w:r w:rsidRPr="0CA71D25" w:rsidR="542D8C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March 28, 2025</w:t>
      </w:r>
      <w:r w:rsidRPr="0CA71D25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0CA71D25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See below for the full project timeline. Please email </w:t>
      </w:r>
      <w:r w:rsidRPr="0CA71D25" w:rsidR="5B74BD4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Traci Mays and Kimberly Reycraft</w:t>
      </w:r>
      <w:r w:rsidRPr="0CA71D25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at </w:t>
      </w:r>
      <w:hyperlink r:id="R6f02120793f34f8d">
        <w:r w:rsidRPr="0CA71D25" w:rsidR="7C5AD09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ESSinacademiclibraries@gmail.com</w:t>
        </w:r>
      </w:hyperlink>
      <w:r w:rsidRPr="0CA71D25" w:rsidR="7C5AD09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CA71D25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with any questions.</w:t>
      </w:r>
    </w:p>
    <w:p w:rsidR="0253EDE4" w:rsidP="0CA71D25" w:rsidRDefault="0253EDE4" w14:paraId="5D0264EB" w14:textId="1FCB270A">
      <w:pPr>
        <w:spacing w:before="0" w:beforeAutospacing="off" w:after="0" w:afterAutospacing="off"/>
        <w:jc w:val="left"/>
      </w:pPr>
      <w:r w:rsidRPr="0CA71D25" w:rsidR="0253ED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0253EDE4" w:rsidP="0CA71D25" w:rsidRDefault="0253EDE4" w14:paraId="677CA34A" w14:textId="7251695D">
      <w:p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0253EDE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Tentative Timeline:</w:t>
      </w:r>
    </w:p>
    <w:p w:rsidR="0253EDE4" w:rsidP="0CA71D25" w:rsidRDefault="0253EDE4" w14:paraId="0317B662" w14:textId="4B199445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A71D25" w:rsidR="0253ED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253EDE4" w:rsidP="0CA71D25" w:rsidRDefault="0253EDE4" w14:paraId="769307F0" w14:textId="090C61DE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CFP closes </w:t>
      </w:r>
      <w:r w:rsidRPr="0CA71D25" w:rsidR="7C77320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February 14, 2025</w:t>
      </w:r>
    </w:p>
    <w:p w:rsidR="0253EDE4" w:rsidP="0CA71D25" w:rsidRDefault="0253EDE4" w14:paraId="127B8020" w14:textId="44EAF317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Authors notified of acceptance by </w:t>
      </w:r>
      <w:r w:rsidRPr="0CA71D25" w:rsidR="2D2C5B8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March 28, 2025</w:t>
      </w:r>
    </w:p>
    <w:p w:rsidR="0253EDE4" w:rsidP="0CA71D25" w:rsidRDefault="0253EDE4" w14:paraId="06F1853F" w14:textId="0AFEDA84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Chapter first drafts due </w:t>
      </w:r>
      <w:r w:rsidRPr="0CA71D25" w:rsidR="45ABEF7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June 27, 2025</w:t>
      </w:r>
    </w:p>
    <w:p w:rsidR="0253EDE4" w:rsidP="2256725E" w:rsidRDefault="0253EDE4" w14:paraId="3B31E942" w14:textId="16F0588D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56725E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Draft reviews completed and feedback provided to authors by </w:t>
      </w:r>
      <w:r w:rsidRPr="2256725E" w:rsidR="1511E14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August </w:t>
      </w:r>
      <w:r w:rsidRPr="2256725E" w:rsidR="256EC8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29</w:t>
      </w:r>
      <w:r w:rsidRPr="2256725E" w:rsidR="5D00E4A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256725E" w:rsidR="5D00E4A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2025</w:t>
      </w:r>
    </w:p>
    <w:p w:rsidR="0253EDE4" w:rsidP="2256725E" w:rsidRDefault="0253EDE4" w14:paraId="65C1ACC6" w14:textId="21A61A3F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56725E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Final drafts of chapters due </w:t>
      </w:r>
      <w:r w:rsidRPr="2256725E" w:rsidR="0E243C6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November 21</w:t>
      </w:r>
      <w:r w:rsidRPr="2256725E" w:rsidR="0428347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 2025</w:t>
      </w:r>
    </w:p>
    <w:p w:rsidR="0253EDE4" w:rsidP="0CA71D25" w:rsidRDefault="0253EDE4" w14:paraId="66DA5AF3" w14:textId="60B48829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80CFD21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Publication </w:t>
      </w:r>
      <w:r w:rsidRPr="380CFD21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anticipated</w:t>
      </w:r>
      <w:r w:rsidRPr="380CFD21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0CFD21" w:rsidR="491C500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380CFD21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202</w:t>
      </w:r>
      <w:r w:rsidRPr="380CFD21" w:rsidR="77C7D54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7</w:t>
      </w:r>
    </w:p>
    <w:p w:rsidR="0253EDE4" w:rsidP="0CA71D25" w:rsidRDefault="0253EDE4" w14:paraId="5A63A833" w14:textId="472ACA6C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A71D25" w:rsidR="0253EDE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253EDE4" w:rsidP="0CA71D25" w:rsidRDefault="0253EDE4" w14:paraId="3B021298" w14:textId="0BB251B0">
      <w:p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0253EDE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Selection Process: </w:t>
      </w:r>
    </w:p>
    <w:p w:rsidR="0253EDE4" w:rsidP="0CA71D25" w:rsidRDefault="0253EDE4" w14:paraId="0D2B6649" w14:textId="0E6E9232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0253EDE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We will be evaluating submissions based on fit with the theme of the book and relevance to a variety of experiences and perspectives</w:t>
      </w:r>
      <w:r w:rsidRPr="0CA71D25" w:rsidR="04668E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CA71D25" w:rsidP="0CA71D25" w:rsidRDefault="0CA71D25" w14:paraId="5BDF96C1" w14:textId="2C255C36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7DCADD" w:rsidP="0CA71D25" w:rsidRDefault="557DCADD" w14:paraId="0806CD6C" w14:textId="08010F61">
      <w:pPr>
        <w:ind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557DCA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References</w:t>
      </w:r>
    </w:p>
    <w:p w:rsidR="557DCADD" w:rsidP="0CA71D25" w:rsidRDefault="557DCADD" w14:paraId="3AEE641C" w14:textId="68C8D568">
      <w:pPr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A71D25" w:rsidR="557DC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Cochrane (2023, May 4). </w:t>
      </w:r>
      <w:r w:rsidRPr="0CA71D25" w:rsidR="557DCAD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Evidence synthesis – What is it and why do we need it? </w:t>
      </w:r>
      <w:r w:rsidRPr="0CA71D25" w:rsidR="557DC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Cochrane. </w:t>
      </w:r>
      <w:hyperlink r:id="R42796d2a7ff146e0">
        <w:r w:rsidRPr="0CA71D25" w:rsidR="557DCAD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https://www.cochrane.org/news/evidence-synthesis-what-it-and-why-do-we-need-it</w:t>
        </w:r>
      </w:hyperlink>
    </w:p>
    <w:p w:rsidR="0CA71D25" w:rsidP="0CA71D25" w:rsidRDefault="0CA71D25" w14:paraId="152A9E64" w14:textId="4861CE9C">
      <w:pPr>
        <w:jc w:val="left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eb6e5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0eff6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e94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1f7f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2ab7e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548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339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c1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813688"/>
    <w:rsid w:val="00EB6B7F"/>
    <w:rsid w:val="010B4D8F"/>
    <w:rsid w:val="0253EDE4"/>
    <w:rsid w:val="03896F0B"/>
    <w:rsid w:val="0428347A"/>
    <w:rsid w:val="04668EFB"/>
    <w:rsid w:val="048FDBCE"/>
    <w:rsid w:val="0548F004"/>
    <w:rsid w:val="059617D8"/>
    <w:rsid w:val="067A1024"/>
    <w:rsid w:val="06832A96"/>
    <w:rsid w:val="069A2825"/>
    <w:rsid w:val="07C6E691"/>
    <w:rsid w:val="0A194E79"/>
    <w:rsid w:val="0B5294E7"/>
    <w:rsid w:val="0CA71D25"/>
    <w:rsid w:val="0D342CB4"/>
    <w:rsid w:val="0E243C6C"/>
    <w:rsid w:val="0F9AB107"/>
    <w:rsid w:val="0FEEFC29"/>
    <w:rsid w:val="1031D852"/>
    <w:rsid w:val="10A99B59"/>
    <w:rsid w:val="114BA45D"/>
    <w:rsid w:val="11E28BE3"/>
    <w:rsid w:val="12514C8E"/>
    <w:rsid w:val="14D4C4DB"/>
    <w:rsid w:val="1511E142"/>
    <w:rsid w:val="1A78F117"/>
    <w:rsid w:val="1ADD91A4"/>
    <w:rsid w:val="1C3EF59A"/>
    <w:rsid w:val="1FB45687"/>
    <w:rsid w:val="217B00A9"/>
    <w:rsid w:val="2256725E"/>
    <w:rsid w:val="22621F60"/>
    <w:rsid w:val="236B0661"/>
    <w:rsid w:val="256640A3"/>
    <w:rsid w:val="256EC856"/>
    <w:rsid w:val="2766AC79"/>
    <w:rsid w:val="27AE0193"/>
    <w:rsid w:val="2AC0F93D"/>
    <w:rsid w:val="2AD3441B"/>
    <w:rsid w:val="2CBE0EAB"/>
    <w:rsid w:val="2D2C5B80"/>
    <w:rsid w:val="2D2E6C42"/>
    <w:rsid w:val="2E193B09"/>
    <w:rsid w:val="2E5EDD30"/>
    <w:rsid w:val="31596A44"/>
    <w:rsid w:val="317246E9"/>
    <w:rsid w:val="3566717D"/>
    <w:rsid w:val="35B5F283"/>
    <w:rsid w:val="35BF1118"/>
    <w:rsid w:val="380CFD21"/>
    <w:rsid w:val="38EACA8F"/>
    <w:rsid w:val="39176F8D"/>
    <w:rsid w:val="39C71EC2"/>
    <w:rsid w:val="3BDCCF47"/>
    <w:rsid w:val="3D7D9084"/>
    <w:rsid w:val="3F5A9055"/>
    <w:rsid w:val="412FC34B"/>
    <w:rsid w:val="4169BD8E"/>
    <w:rsid w:val="41809D21"/>
    <w:rsid w:val="4253A282"/>
    <w:rsid w:val="43D04F64"/>
    <w:rsid w:val="453B8FDF"/>
    <w:rsid w:val="45ABEF73"/>
    <w:rsid w:val="47790A90"/>
    <w:rsid w:val="4860DDC8"/>
    <w:rsid w:val="491C5001"/>
    <w:rsid w:val="49613B11"/>
    <w:rsid w:val="49F9ABC1"/>
    <w:rsid w:val="4BCDEAA8"/>
    <w:rsid w:val="4C6A50A6"/>
    <w:rsid w:val="502EF259"/>
    <w:rsid w:val="5033899F"/>
    <w:rsid w:val="507180E7"/>
    <w:rsid w:val="50B0AA7E"/>
    <w:rsid w:val="52813688"/>
    <w:rsid w:val="542D8C44"/>
    <w:rsid w:val="5454BAFF"/>
    <w:rsid w:val="54A7378C"/>
    <w:rsid w:val="5504ADEE"/>
    <w:rsid w:val="552A4758"/>
    <w:rsid w:val="55413B44"/>
    <w:rsid w:val="557DCADD"/>
    <w:rsid w:val="55A35F91"/>
    <w:rsid w:val="57139520"/>
    <w:rsid w:val="58804607"/>
    <w:rsid w:val="59C8328C"/>
    <w:rsid w:val="5AFA781C"/>
    <w:rsid w:val="5B0FAAAC"/>
    <w:rsid w:val="5B74BD49"/>
    <w:rsid w:val="5D00E4A8"/>
    <w:rsid w:val="5EBB3A84"/>
    <w:rsid w:val="6091BF40"/>
    <w:rsid w:val="61F4BF4F"/>
    <w:rsid w:val="630EAB63"/>
    <w:rsid w:val="6360E293"/>
    <w:rsid w:val="6365AB06"/>
    <w:rsid w:val="6458B3A9"/>
    <w:rsid w:val="65DEB323"/>
    <w:rsid w:val="68671638"/>
    <w:rsid w:val="6C011A13"/>
    <w:rsid w:val="6C0A5D64"/>
    <w:rsid w:val="6C2EA352"/>
    <w:rsid w:val="6DA6CB55"/>
    <w:rsid w:val="6DE9CB75"/>
    <w:rsid w:val="6F8A992F"/>
    <w:rsid w:val="721F51F5"/>
    <w:rsid w:val="7411B5F5"/>
    <w:rsid w:val="770009DE"/>
    <w:rsid w:val="77C7D542"/>
    <w:rsid w:val="7A08BE5F"/>
    <w:rsid w:val="7C5AD09C"/>
    <w:rsid w:val="7C773202"/>
    <w:rsid w:val="7E65C92F"/>
    <w:rsid w:val="7FDC8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3688"/>
  <w15:chartTrackingRefBased/>
  <w15:docId w15:val="{8A177EC1-7373-439C-B021-0F3E93D0ED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orms.gle/5hhUDDn16oLmi158A" TargetMode="External" Id="Re746f172022340ea" /><Relationship Type="http://schemas.openxmlformats.org/officeDocument/2006/relationships/hyperlink" Target="https://forms.gle/5hhUDDn16oLmi158A" TargetMode="External" Id="R6c54f6e6fef341de" /><Relationship Type="http://schemas.openxmlformats.org/officeDocument/2006/relationships/hyperlink" Target="mailto:ESSinacademiclibraries@gmail.com" TargetMode="External" Id="R6f02120793f34f8d" /><Relationship Type="http://schemas.openxmlformats.org/officeDocument/2006/relationships/hyperlink" Target="https://www.cochrane.org/news/evidence-synthesis-what-it-and-why-do-we-need-it" TargetMode="External" Id="R42796d2a7ff146e0" /><Relationship Type="http://schemas.openxmlformats.org/officeDocument/2006/relationships/numbering" Target="numbering.xml" Id="R610d1db0e27542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B01FD866C904494743DAAB41F21D8" ma:contentTypeVersion="4" ma:contentTypeDescription="Create a new document." ma:contentTypeScope="" ma:versionID="f11eae60e6d50c4afd2b643b209b4e5d">
  <xsd:schema xmlns:xsd="http://www.w3.org/2001/XMLSchema" xmlns:xs="http://www.w3.org/2001/XMLSchema" xmlns:p="http://schemas.microsoft.com/office/2006/metadata/properties" xmlns:ns2="48610330-27bc-46ab-b8da-b3d86f7bb31e" targetNamespace="http://schemas.microsoft.com/office/2006/metadata/properties" ma:root="true" ma:fieldsID="4319c9a6511ff46729e156f54333efec" ns2:_="">
    <xsd:import namespace="48610330-27bc-46ab-b8da-b3d86f7bb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0330-27bc-46ab-b8da-b3d86f7bb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92728-B336-42B9-86F4-2EBC47497180}"/>
</file>

<file path=customXml/itemProps2.xml><?xml version="1.0" encoding="utf-8"?>
<ds:datastoreItem xmlns:ds="http://schemas.openxmlformats.org/officeDocument/2006/customXml" ds:itemID="{CEB49862-CC80-4529-9B75-7A07202FC8D7}"/>
</file>

<file path=customXml/itemProps3.xml><?xml version="1.0" encoding="utf-8"?>
<ds:datastoreItem xmlns:ds="http://schemas.openxmlformats.org/officeDocument/2006/customXml" ds:itemID="{6A1C492A-FF24-4B49-A82B-16D4C603E7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Reycraft, Kimberly</dc:creator>
  <keywords/>
  <dc:description/>
  <dcterms:created xsi:type="dcterms:W3CDTF">2024-11-14T13:56:20.0000000Z</dcterms:created>
  <dcterms:modified xsi:type="dcterms:W3CDTF">2024-11-19T13:58:02.1463409Z</dcterms:modified>
  <lastModifiedBy>Reycraft, Kimberly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0x010100D7BB01FD866C904494743DAAB41F21D8</vt:lpwstr>
  </property>
</Properties>
</file>